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bCs/>
          <w:iCs/>
        </w:rPr>
      </w:pPr>
      <w:r>
        <w:rPr>
          <w:bCs/>
          <w:iCs/>
        </w:rPr>
        <w:t>BIỂU THUẾ TIÊU THỤ ĐẶC BIỆT</w:t>
      </w:r>
    </w:p>
    <w:tbl>
      <w:tblPr>
        <w:tblStyle w:val="3"/>
        <w:tblW w:w="9360" w:type="dxa"/>
        <w:jc w:val="center"/>
        <w:tblInd w:w="28" w:type="dxa"/>
        <w:tblBorders>
          <w:top w:val="single" w:color="0000FF" w:sz="6" w:space="0"/>
          <w:left w:val="single" w:color="0000FF" w:sz="6" w:space="0"/>
          <w:bottom w:val="single" w:color="0000FF" w:sz="6" w:space="0"/>
          <w:right w:val="single" w:color="0000FF" w:sz="6" w:space="0"/>
          <w:insideH w:val="single" w:color="0000FF" w:sz="6" w:space="0"/>
          <w:insideV w:val="single" w:color="0000FF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0"/>
        <w:gridCol w:w="6660"/>
        <w:gridCol w:w="1980"/>
      </w:tblGrid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tblHeader/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CCFFFF"/>
            <w:vAlign w:val="top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CCFFFF"/>
            <w:vAlign w:val="top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Hàng hoá, dịch vụ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CCFFFF"/>
            <w:vAlign w:val="top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Thuế suất (%)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 xml:space="preserve">I 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Hàng hoá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t xml:space="preserve">Thuốc lá điếu, xì gà và các chế phẩm khác từ cây thuốc lá 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Rượu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a) Rượu từ 20 độ trở lên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Từ ngày 01 tháng 01 năm 2010 đến hết ngày 31 tháng 12 năm 2012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Từ ngày 01 tháng 01 năm 2013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b) Rượu dưới 20 độ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 xml:space="preserve"> Bia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Từ  ngày 01 tháng 01 năm 2010 đến hết ngày 31 tháng 12 năm 2012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Từ ngày 01 tháng 01 năm 2013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Xe ô tô dưới 24 chỗ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rPr>
                <w:bCs/>
              </w:rPr>
              <w:t>a) Xe ô tô chở người từ 9 chỗ trở xuống, trừ loại quy định tại điểm 4đ, 4e và 4g Điều này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t>Loại có dung tích xi lanh từ 2.000 cm</w:t>
            </w:r>
            <w:r>
              <w:rPr>
                <w:vertAlign w:val="superscript"/>
              </w:rPr>
              <w:t>3</w:t>
            </w:r>
            <w:r>
              <w:t xml:space="preserve"> trở xuống 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spacing w:val="-6"/>
              </w:rPr>
              <w:t>Loại có dung tích xi lanh trên 2.000 cm</w:t>
            </w:r>
            <w:r>
              <w:rPr>
                <w:spacing w:val="-6"/>
                <w:vertAlign w:val="superscript"/>
              </w:rPr>
              <w:t>3</w:t>
            </w:r>
            <w:r>
              <w:rPr>
                <w:spacing w:val="-6"/>
              </w:rPr>
              <w:t xml:space="preserve"> đến 3.000 cm</w:t>
            </w:r>
            <w:r>
              <w:rPr>
                <w:spacing w:val="-6"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</w:pPr>
            <w:r>
              <w:t>Loại có dung tích xi lanh trên 3.000 cm</w:t>
            </w:r>
            <w:r>
              <w:rPr>
                <w:vertAlign w:val="superscript"/>
              </w:rPr>
              <w:t>3</w:t>
            </w:r>
            <w:r>
              <w:tab/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rPr>
                <w:bCs/>
              </w:rPr>
              <w:t>b) Xe ô tô chở người từ 10 đến dưới 16 chỗ, trừ loại quy định tại điểm 4đ, 4e và 4g Điều này</w:t>
            </w:r>
            <w:r>
              <w:tab/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rPr>
                <w:bCs/>
              </w:rPr>
              <w:t>c) Xe ô tô chở người từ 16 đến dưới 24 chỗ, trừ loại quy định tại điểm 4đ, 4e và 4g Điều này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rPr>
                <w:bCs/>
              </w:rPr>
              <w:t>d) Xe ô tô vừa chở người, vừa chở hàng, trừ loại quy định tại điểm 4đ, 4e và 4g Điều này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rPr>
                <w:bCs/>
              </w:rPr>
              <w:t>đ) Xe ô tô chạy bằng xăng kết hợp năng lượng điện, năng lượng sinh học, trong đó tỷ trọng xăng sử dụng không quá 70% số năng lượng sử dụng.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Bằng 70% mức thuế suất áp dụng cho xe cùng loại quy định tại điểm 4a, 4b, 4c và 4d Điều này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rPr>
                <w:bCs/>
              </w:rPr>
              <w:t>e) Xe ô tô chạy bằng năng lượng sinh học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Bằng 50% mức thuế suất áp dụng cho xe cùng loại quy định tại điểm 4a, 4b, 4c và 4d  Điều này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g) Xe ô tô chạy bằng điện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Loại chở người từ 9 chỗ trở xuống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Loại chở người từ 10 đến dưới 16 chỗ</w:t>
            </w:r>
            <w:r>
              <w:rPr>
                <w:bCs/>
                <w:strike/>
                <w:u w:val="single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 xml:space="preserve">Loại chở người từ 16 đến dưới 24 chỗ 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 xml:space="preserve">Loại thiết kế vừa chở người, vừa chở hàng 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t>Xe mô tô hai bánh, xe mô tô ba bánh có dung tích xi lanh trên 125cm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ind w:left="57"/>
              <w:rPr>
                <w:bCs/>
              </w:rPr>
            </w:pPr>
            <w:r>
              <w:t>Tàu bay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</w:pPr>
            <w:r>
              <w:t>Du thuyền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jc w:val="both"/>
              <w:rPr>
                <w:bCs/>
              </w:rPr>
            </w:pPr>
            <w:r>
              <w:rPr>
                <w:bCs/>
              </w:rPr>
              <w:t>Xăng các loại, nap-ta, chế phẩm tái hợp</w:t>
            </w:r>
            <w:r>
              <w:t xml:space="preserve"> </w:t>
            </w:r>
            <w:r>
              <w:rPr>
                <w:bCs/>
              </w:rPr>
              <w:t>và các chế phẩm khác để pha chế xăng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t>Điều hoà nhiệt độ công suất từ 90.000 BTU trở xuống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Bài lá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Vàng mã, hàng mã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center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 xml:space="preserve">II 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Dịch vụ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Kinh doanh vũ trường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Kinh doanh mát-xa, ka-ra-ô-kê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 xml:space="preserve">30 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 xml:space="preserve">Kinh doanh ca-si-nô, trò chơi điện tử có thưởng 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Kinh doanh đặt cược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>Kinh doanh gôn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>
        <w:tblPrEx>
          <w:tblBorders>
            <w:top w:val="single" w:color="0000FF" w:sz="6" w:space="0"/>
            <w:left w:val="single" w:color="0000FF" w:sz="6" w:space="0"/>
            <w:bottom w:val="single" w:color="0000FF" w:sz="6" w:space="0"/>
            <w:right w:val="single" w:color="0000FF" w:sz="6" w:space="0"/>
            <w:insideH w:val="single" w:color="0000FF" w:sz="6" w:space="0"/>
            <w:insideV w:val="single" w:color="0000FF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 xml:space="preserve">Kinh doanh xổ số </w:t>
            </w:r>
          </w:p>
        </w:tc>
        <w:tc>
          <w:tcPr>
            <w:tcW w:w="198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shd w:val="clear" w:color="auto" w:fill="auto"/>
            <w:vAlign w:val="top"/>
          </w:tcPr>
          <w:p>
            <w:pPr>
              <w:spacing w:before="80" w:after="8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74E79"/>
    <w:rsid w:val="4A474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8"/>
      <w:szCs w:val="28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2017-08-19T04:49:00Z</dcterms:created>
  <dc:creator>USER</dc:creator>
  <cp:lastModifiedBy>USER</cp:lastModifiedBy>
  <dcterms:modified xsi:type="dcterms:W3CDTF">2017-08-19T04:50:20Z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